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8EC" w:rsidRDefault="003C18EC" w:rsidP="003C18EC">
      <w:pPr>
        <w:rPr>
          <w:b/>
          <w:color w:val="632423" w:themeColor="accent2" w:themeShade="80"/>
          <w:sz w:val="28"/>
          <w:lang w:val="cs-CZ"/>
        </w:rPr>
      </w:pPr>
      <w:bookmarkStart w:id="0" w:name="_GoBack"/>
    </w:p>
    <w:bookmarkEnd w:id="0"/>
    <w:p w:rsidR="00C90D8A" w:rsidRDefault="00C90D8A" w:rsidP="003C18EC">
      <w:pPr>
        <w:rPr>
          <w:b/>
          <w:color w:val="632423" w:themeColor="accent2" w:themeShade="80"/>
          <w:sz w:val="28"/>
          <w:lang w:val="cs-CZ"/>
        </w:rPr>
      </w:pPr>
    </w:p>
    <w:p w:rsidR="003C18EC" w:rsidRPr="003C18EC" w:rsidRDefault="003C18EC" w:rsidP="003C18EC">
      <w:pPr>
        <w:rPr>
          <w:b/>
          <w:color w:val="632423" w:themeColor="accent2" w:themeShade="80"/>
          <w:sz w:val="28"/>
          <w:lang w:val="cs-CZ"/>
        </w:rPr>
      </w:pPr>
      <w:r w:rsidRPr="003C18EC">
        <w:rPr>
          <w:b/>
          <w:color w:val="632423" w:themeColor="accent2" w:themeShade="80"/>
          <w:sz w:val="28"/>
          <w:lang w:val="cs-CZ"/>
        </w:rPr>
        <w:t>Tisková zpráva</w:t>
      </w:r>
    </w:p>
    <w:p w:rsidR="003C18EC" w:rsidRPr="003C18EC" w:rsidRDefault="003C18EC" w:rsidP="003C18EC">
      <w:pPr>
        <w:rPr>
          <w:b/>
          <w:lang w:val="cs-CZ"/>
        </w:rPr>
      </w:pPr>
      <w:r w:rsidRPr="003C18EC">
        <w:rPr>
          <w:b/>
          <w:sz w:val="28"/>
          <w:lang w:val="cs-CZ"/>
        </w:rPr>
        <w:t xml:space="preserve">Informační embargo do 9. </w:t>
      </w:r>
      <w:r w:rsidR="00C90D8A">
        <w:rPr>
          <w:b/>
          <w:sz w:val="28"/>
          <w:lang w:val="cs-CZ"/>
        </w:rPr>
        <w:t>února</w:t>
      </w:r>
      <w:r w:rsidRPr="003C18EC">
        <w:rPr>
          <w:b/>
          <w:sz w:val="28"/>
          <w:lang w:val="cs-CZ"/>
        </w:rPr>
        <w:t xml:space="preserve"> 2015</w:t>
      </w:r>
      <w:r w:rsidRPr="003C18EC">
        <w:rPr>
          <w:b/>
          <w:lang w:val="cs-CZ"/>
        </w:rPr>
        <w:br/>
      </w:r>
    </w:p>
    <w:p w:rsidR="003C18EC" w:rsidRPr="003C18EC" w:rsidRDefault="003C18EC" w:rsidP="003C18EC">
      <w:pPr>
        <w:rPr>
          <w:sz w:val="22"/>
          <w:szCs w:val="22"/>
          <w:lang w:val="cs-CZ"/>
        </w:rPr>
      </w:pPr>
    </w:p>
    <w:p w:rsidR="003C18EC" w:rsidRPr="003C18EC" w:rsidRDefault="003C18EC" w:rsidP="003C18EC">
      <w:pPr>
        <w:rPr>
          <w:sz w:val="22"/>
          <w:szCs w:val="22"/>
          <w:lang w:val="cs-CZ"/>
        </w:rPr>
      </w:pPr>
      <w:r w:rsidRPr="003C18EC">
        <w:rPr>
          <w:sz w:val="22"/>
          <w:szCs w:val="22"/>
          <w:lang w:val="cs-CZ"/>
        </w:rPr>
        <w:t>Jenišovic</w:t>
      </w:r>
      <w:r w:rsidR="00C90D8A">
        <w:rPr>
          <w:sz w:val="22"/>
          <w:szCs w:val="22"/>
          <w:lang w:val="cs-CZ"/>
        </w:rPr>
        <w:t>e,</w:t>
      </w:r>
      <w:r w:rsidRPr="003C18EC">
        <w:rPr>
          <w:sz w:val="22"/>
          <w:szCs w:val="22"/>
          <w:lang w:val="cs-CZ"/>
        </w:rPr>
        <w:t xml:space="preserve"> 6. </w:t>
      </w:r>
      <w:r>
        <w:rPr>
          <w:sz w:val="22"/>
          <w:szCs w:val="22"/>
          <w:lang w:val="cs-CZ"/>
        </w:rPr>
        <w:t>února</w:t>
      </w:r>
      <w:r w:rsidRPr="003C18EC">
        <w:rPr>
          <w:sz w:val="22"/>
          <w:szCs w:val="22"/>
          <w:lang w:val="cs-CZ"/>
        </w:rPr>
        <w:t xml:space="preserve"> 2015</w:t>
      </w:r>
      <w:r w:rsidRPr="003C18EC">
        <w:rPr>
          <w:sz w:val="22"/>
          <w:szCs w:val="22"/>
          <w:lang w:val="cs-CZ"/>
        </w:rPr>
        <w:br/>
      </w:r>
    </w:p>
    <w:p w:rsidR="003C18EC" w:rsidRPr="003C18EC" w:rsidRDefault="003C18EC" w:rsidP="003C18EC">
      <w:pPr>
        <w:rPr>
          <w:b/>
          <w:color w:val="632423" w:themeColor="accent2" w:themeShade="80"/>
          <w:sz w:val="28"/>
          <w:szCs w:val="22"/>
          <w:lang w:val="cs-CZ"/>
        </w:rPr>
      </w:pPr>
    </w:p>
    <w:p w:rsidR="003C18EC" w:rsidRPr="003C18EC" w:rsidRDefault="003C18EC" w:rsidP="003C18EC">
      <w:pPr>
        <w:rPr>
          <w:b/>
          <w:color w:val="632423" w:themeColor="accent2" w:themeShade="80"/>
          <w:sz w:val="22"/>
          <w:szCs w:val="22"/>
          <w:lang w:val="cs-CZ"/>
        </w:rPr>
      </w:pPr>
      <w:r w:rsidRPr="003C18EC">
        <w:rPr>
          <w:b/>
          <w:color w:val="632423" w:themeColor="accent2" w:themeShade="80"/>
          <w:sz w:val="28"/>
          <w:szCs w:val="22"/>
          <w:lang w:val="cs-CZ"/>
        </w:rPr>
        <w:t>Skupiny VGP a GEMO uzavřely strategické partnerství v Olomouci</w:t>
      </w:r>
    </w:p>
    <w:p w:rsidR="003C18EC" w:rsidRPr="003C18EC" w:rsidRDefault="003C18EC" w:rsidP="003C18EC">
      <w:pPr>
        <w:rPr>
          <w:iCs/>
          <w:sz w:val="22"/>
          <w:szCs w:val="22"/>
          <w:lang w:val="cs-CZ"/>
        </w:rPr>
      </w:pPr>
      <w:r w:rsidRPr="003C18EC">
        <w:rPr>
          <w:iCs/>
          <w:sz w:val="22"/>
          <w:szCs w:val="22"/>
          <w:lang w:val="cs-CZ"/>
        </w:rPr>
        <w:br/>
      </w:r>
    </w:p>
    <w:p w:rsidR="003C18EC" w:rsidRPr="006F1ABA" w:rsidRDefault="003C18EC" w:rsidP="003C18EC">
      <w:pPr>
        <w:rPr>
          <w:b/>
          <w:iCs/>
          <w:sz w:val="22"/>
          <w:szCs w:val="22"/>
          <w:lang w:val="cs-CZ"/>
        </w:rPr>
      </w:pPr>
      <w:r w:rsidRPr="006F1ABA">
        <w:rPr>
          <w:b/>
          <w:iCs/>
          <w:sz w:val="22"/>
          <w:szCs w:val="22"/>
          <w:lang w:val="cs-CZ"/>
        </w:rPr>
        <w:t xml:space="preserve">Skupiny VGP a GEMO uzavřely na podzim loňského roku dohodu o dlouhodobé spolupráci při realizaci záměru „Technologický park Olomouc“. </w:t>
      </w:r>
    </w:p>
    <w:p w:rsidR="003C18EC" w:rsidRPr="003C18EC" w:rsidRDefault="003C18EC" w:rsidP="003C18EC">
      <w:pPr>
        <w:jc w:val="both"/>
        <w:rPr>
          <w:rFonts w:eastAsia="Calibri"/>
          <w:color w:val="000000"/>
          <w:sz w:val="22"/>
          <w:szCs w:val="22"/>
          <w:shd w:val="clear" w:color="auto" w:fill="FFFFFF"/>
          <w:lang w:val="cs-CZ"/>
        </w:rPr>
      </w:pPr>
      <w:r w:rsidRPr="003C18EC">
        <w:rPr>
          <w:sz w:val="22"/>
          <w:szCs w:val="22"/>
          <w:lang w:val="cs-CZ"/>
        </w:rPr>
        <w:br/>
        <w:t>VGP hodlá v rámci území tzv. I. etapy parku o velikosti 480 000 m</w:t>
      </w:r>
      <w:r w:rsidRPr="003C18EC">
        <w:rPr>
          <w:sz w:val="22"/>
          <w:szCs w:val="22"/>
          <w:vertAlign w:val="superscript"/>
          <w:lang w:val="cs-CZ"/>
        </w:rPr>
        <w:t>2</w:t>
      </w:r>
      <w:r w:rsidRPr="003C18EC">
        <w:rPr>
          <w:sz w:val="22"/>
          <w:szCs w:val="22"/>
          <w:lang w:val="cs-CZ"/>
        </w:rPr>
        <w:t xml:space="preserve"> navázat na úspěšnou práci původního developera lokality a plánuje zde vybudovat výrobní areály s celkovou pronajímatelnou plochou o velikosti 230 000 m</w:t>
      </w:r>
      <w:r w:rsidRPr="003C18EC">
        <w:rPr>
          <w:sz w:val="22"/>
          <w:szCs w:val="22"/>
          <w:vertAlign w:val="superscript"/>
          <w:lang w:val="cs-CZ"/>
        </w:rPr>
        <w:t>2</w:t>
      </w:r>
      <w:r w:rsidRPr="003C18EC">
        <w:rPr>
          <w:sz w:val="22"/>
          <w:szCs w:val="22"/>
          <w:lang w:val="cs-CZ"/>
        </w:rPr>
        <w:t>. V současné době je k pronájmu v rámci „Haly G2“ připraveno cca 10 000 m</w:t>
      </w:r>
      <w:r w:rsidRPr="003C18EC">
        <w:rPr>
          <w:sz w:val="22"/>
          <w:szCs w:val="22"/>
          <w:vertAlign w:val="superscript"/>
          <w:lang w:val="cs-CZ"/>
        </w:rPr>
        <w:t>2</w:t>
      </w:r>
      <w:r w:rsidRPr="003C18EC">
        <w:rPr>
          <w:sz w:val="22"/>
          <w:szCs w:val="22"/>
          <w:lang w:val="cs-CZ"/>
        </w:rPr>
        <w:t xml:space="preserve"> a dalších necelých 10 000 m</w:t>
      </w:r>
      <w:r w:rsidRPr="003C18EC">
        <w:rPr>
          <w:sz w:val="22"/>
          <w:szCs w:val="22"/>
          <w:vertAlign w:val="superscript"/>
          <w:lang w:val="cs-CZ"/>
        </w:rPr>
        <w:t>2</w:t>
      </w:r>
      <w:r w:rsidRPr="003C18EC">
        <w:rPr>
          <w:sz w:val="22"/>
          <w:szCs w:val="22"/>
          <w:lang w:val="cs-CZ"/>
        </w:rPr>
        <w:t xml:space="preserve"> je ve výstavbě – ve fázi před dokončením hrubé stavby.</w:t>
      </w:r>
    </w:p>
    <w:p w:rsidR="003C18EC" w:rsidRPr="003C18EC" w:rsidRDefault="003C18EC" w:rsidP="003C18EC">
      <w:pPr>
        <w:jc w:val="both"/>
        <w:rPr>
          <w:sz w:val="22"/>
          <w:szCs w:val="22"/>
          <w:lang w:val="cs-CZ"/>
        </w:rPr>
      </w:pPr>
      <w:r w:rsidRPr="003C18EC">
        <w:rPr>
          <w:rFonts w:eastAsia="Calibri"/>
          <w:color w:val="000000"/>
          <w:sz w:val="22"/>
          <w:szCs w:val="22"/>
          <w:shd w:val="clear" w:color="auto" w:fill="FFFFFF"/>
          <w:lang w:val="cs-CZ"/>
        </w:rPr>
        <w:br/>
        <w:t xml:space="preserve">Uzavřením dohody došlo k vytvoření úzké spolupráce dvou významných partnerů, a sice stabilní </w:t>
      </w:r>
      <w:r w:rsidRPr="003C18EC">
        <w:rPr>
          <w:sz w:val="22"/>
          <w:szCs w:val="22"/>
          <w:lang w:val="cs-CZ"/>
        </w:rPr>
        <w:t xml:space="preserve">stavební a </w:t>
      </w:r>
      <w:r w:rsidRPr="003C18EC">
        <w:rPr>
          <w:color w:val="000000" w:themeColor="text1"/>
          <w:sz w:val="22"/>
          <w:szCs w:val="22"/>
          <w:lang w:val="cs-CZ"/>
        </w:rPr>
        <w:t xml:space="preserve">developerské skupiny GEMO a mezinárodně úspěšné developerské skupiny VGP. Ta se zaměřuje na výstavbu a pronájem průmyslových </w:t>
      </w:r>
      <w:r w:rsidRPr="003C18EC">
        <w:rPr>
          <w:sz w:val="22"/>
          <w:szCs w:val="22"/>
          <w:lang w:val="cs-CZ"/>
        </w:rPr>
        <w:t>nemovitostí pro výrobní</w:t>
      </w:r>
    </w:p>
    <w:p w:rsidR="003C18EC" w:rsidRPr="003C18EC" w:rsidRDefault="003C18EC" w:rsidP="003C18EC">
      <w:pPr>
        <w:jc w:val="both"/>
        <w:rPr>
          <w:sz w:val="22"/>
          <w:szCs w:val="22"/>
          <w:lang w:val="cs-CZ"/>
        </w:rPr>
      </w:pPr>
      <w:r w:rsidRPr="003C18EC">
        <w:rPr>
          <w:sz w:val="22"/>
          <w:szCs w:val="22"/>
          <w:lang w:val="cs-CZ"/>
        </w:rPr>
        <w:t>a logistické firmy a poskytování přidružených realitních služeb.</w:t>
      </w:r>
    </w:p>
    <w:p w:rsidR="003C18EC" w:rsidRPr="003C18EC" w:rsidRDefault="003C18EC" w:rsidP="003C18EC">
      <w:pPr>
        <w:jc w:val="both"/>
        <w:rPr>
          <w:sz w:val="22"/>
          <w:szCs w:val="22"/>
          <w:lang w:val="cs-CZ"/>
        </w:rPr>
      </w:pPr>
      <w:r w:rsidRPr="003C18EC">
        <w:rPr>
          <w:sz w:val="22"/>
          <w:szCs w:val="22"/>
          <w:lang w:val="cs-CZ"/>
        </w:rPr>
        <w:br/>
        <w:t xml:space="preserve">Obě strany si od vzájemné kooperace slibují </w:t>
      </w:r>
      <w:r w:rsidRPr="003C18EC">
        <w:rPr>
          <w:rFonts w:eastAsia="Calibri"/>
          <w:color w:val="000000"/>
          <w:sz w:val="22"/>
          <w:szCs w:val="22"/>
          <w:shd w:val="clear" w:color="auto" w:fill="FFFFFF"/>
          <w:lang w:val="cs-CZ"/>
        </w:rPr>
        <w:t xml:space="preserve">rychlejší rozvoj parku a jeho postupné naplnění úspěšnými firmami, jež by měly </w:t>
      </w:r>
      <w:r w:rsidRPr="003C18EC">
        <w:rPr>
          <w:sz w:val="22"/>
          <w:szCs w:val="22"/>
          <w:lang w:val="cs-CZ"/>
        </w:rPr>
        <w:t xml:space="preserve">do regionu přinést nové pracovní příležitosti, moderní technologie, vyšší produktivitu práce, </w:t>
      </w:r>
      <w:r w:rsidRPr="003C18EC">
        <w:rPr>
          <w:rFonts w:eastAsia="Calibri"/>
          <w:color w:val="000000"/>
          <w:sz w:val="22"/>
          <w:szCs w:val="22"/>
          <w:shd w:val="clear" w:color="auto" w:fill="FFFFFF"/>
          <w:lang w:val="cs-CZ"/>
        </w:rPr>
        <w:t>dynamické prostředí pro nastartování větší inovační aktivity místního podnikatelského prostředí</w:t>
      </w:r>
      <w:r w:rsidRPr="003C18EC">
        <w:rPr>
          <w:sz w:val="22"/>
          <w:szCs w:val="22"/>
          <w:lang w:val="cs-CZ"/>
        </w:rPr>
        <w:t xml:space="preserve"> a celkově podpořit navýšení konkurenceschopnosti regionální ekonomiky. Po dokončení bude mít park významný přínos pro celý olomoucký region.</w:t>
      </w:r>
    </w:p>
    <w:p w:rsidR="003C18EC" w:rsidRPr="003C18EC" w:rsidRDefault="003C18EC" w:rsidP="003C18EC">
      <w:pPr>
        <w:jc w:val="both"/>
        <w:rPr>
          <w:sz w:val="22"/>
          <w:szCs w:val="22"/>
          <w:lang w:val="cs-CZ"/>
        </w:rPr>
      </w:pPr>
      <w:r w:rsidRPr="003C18EC">
        <w:rPr>
          <w:sz w:val="22"/>
          <w:szCs w:val="22"/>
          <w:lang w:val="cs-CZ"/>
        </w:rPr>
        <w:br/>
        <w:t>Lokalita „</w:t>
      </w:r>
      <w:r w:rsidRPr="003C18EC">
        <w:rPr>
          <w:iCs/>
          <w:sz w:val="22"/>
          <w:szCs w:val="22"/>
          <w:lang w:val="cs-CZ"/>
        </w:rPr>
        <w:t>Technologického parku Olomouc“</w:t>
      </w:r>
      <w:r w:rsidRPr="003C18EC">
        <w:rPr>
          <w:sz w:val="22"/>
          <w:szCs w:val="22"/>
          <w:lang w:val="cs-CZ"/>
        </w:rPr>
        <w:t xml:space="preserve"> se nachází na jihozápadním okraji Olomouce, poblíž obce Hněvotín, v těsné blízkosti křižovatky rychlostních komunikací R46 a R35 ve směru na Brno, Ostravu a Hradec Králové, na exitu 37. Lokalita je určena k umístění investičních záměrů především z oblasti inovačních čistých technologií, zpracovatelského průmyslu a lehké výroby, dále také pro oblasti strategických služeb, center sdílených služeb, administrativy, skladů a skladovacích ploch. </w:t>
      </w:r>
    </w:p>
    <w:p w:rsidR="003C18EC" w:rsidRPr="003C18EC" w:rsidRDefault="003C18EC" w:rsidP="003C18EC">
      <w:pPr>
        <w:jc w:val="both"/>
        <w:rPr>
          <w:lang w:val="cs-CZ"/>
        </w:rPr>
      </w:pPr>
      <w:r w:rsidRPr="003C18EC">
        <w:rPr>
          <w:rFonts w:eastAsia="Calibri"/>
          <w:color w:val="000000"/>
          <w:sz w:val="22"/>
          <w:szCs w:val="22"/>
          <w:shd w:val="clear" w:color="auto" w:fill="FFFFFF"/>
          <w:lang w:val="cs-CZ"/>
        </w:rPr>
        <w:br/>
        <w:t>Park je dostupný prostřednictvím přímého dopravního napojení pro nákladní, osobní i veřejnou automobilovou dopravu, prezentovanou integrovaným dopravním systémem, a zároveň je kompletně napojen na veškeré inženýrské sítě</w:t>
      </w:r>
      <w:r w:rsidRPr="003C18EC">
        <w:rPr>
          <w:lang w:val="cs-CZ"/>
        </w:rPr>
        <w:t>.</w:t>
      </w:r>
    </w:p>
    <w:p w:rsidR="003C18EC" w:rsidRDefault="003C18EC" w:rsidP="003C18EC">
      <w:pPr>
        <w:pBdr>
          <w:bottom w:val="single" w:sz="4" w:space="1" w:color="auto"/>
        </w:pBdr>
        <w:jc w:val="both"/>
        <w:rPr>
          <w:rFonts w:eastAsia="Calibri"/>
          <w:color w:val="000000"/>
          <w:shd w:val="clear" w:color="auto" w:fill="FFFFFF"/>
          <w:lang w:val="cs-CZ"/>
        </w:rPr>
      </w:pPr>
    </w:p>
    <w:p w:rsidR="003C18EC" w:rsidRPr="003C18EC" w:rsidRDefault="003C18EC" w:rsidP="003C18EC">
      <w:pPr>
        <w:pBdr>
          <w:bottom w:val="single" w:sz="4" w:space="1" w:color="auto"/>
        </w:pBdr>
        <w:jc w:val="both"/>
        <w:rPr>
          <w:rFonts w:eastAsia="Calibri"/>
          <w:color w:val="000000"/>
          <w:shd w:val="clear" w:color="auto" w:fill="FFFFFF"/>
          <w:lang w:val="cs-CZ"/>
        </w:rPr>
      </w:pPr>
    </w:p>
    <w:p w:rsidR="003C18EC" w:rsidRPr="003C18EC" w:rsidRDefault="003C18EC" w:rsidP="003C18EC">
      <w:pPr>
        <w:rPr>
          <w:b/>
          <w:bCs/>
          <w:lang w:val="cs-CZ"/>
        </w:rPr>
      </w:pPr>
    </w:p>
    <w:p w:rsidR="003C18EC" w:rsidRPr="003C18EC" w:rsidRDefault="003C18EC" w:rsidP="003C18EC">
      <w:pPr>
        <w:rPr>
          <w:b/>
          <w:bCs/>
          <w:sz w:val="22"/>
          <w:lang w:val="cs-CZ"/>
        </w:rPr>
      </w:pPr>
      <w:r w:rsidRPr="003C18EC">
        <w:rPr>
          <w:b/>
          <w:bCs/>
          <w:sz w:val="22"/>
          <w:lang w:val="cs-CZ"/>
        </w:rPr>
        <w:t>Profil VGP</w:t>
      </w:r>
    </w:p>
    <w:p w:rsidR="00C90D8A" w:rsidRDefault="003C18EC" w:rsidP="003C18EC">
      <w:pPr>
        <w:autoSpaceDE w:val="0"/>
        <w:autoSpaceDN w:val="0"/>
        <w:adjustRightInd w:val="0"/>
        <w:jc w:val="both"/>
        <w:rPr>
          <w:color w:val="000000"/>
          <w:sz w:val="22"/>
          <w:lang w:val="cs-CZ"/>
        </w:rPr>
      </w:pPr>
      <w:r w:rsidRPr="003C18EC">
        <w:rPr>
          <w:color w:val="000000"/>
          <w:sz w:val="22"/>
          <w:lang w:val="cs-CZ"/>
        </w:rPr>
        <w:t>Skupina VGP (</w:t>
      </w:r>
      <w:r w:rsidRPr="003C18EC">
        <w:rPr>
          <w:color w:val="0000FF"/>
          <w:sz w:val="22"/>
          <w:lang w:val="cs-CZ"/>
        </w:rPr>
        <w:t>www.vgpparks.eu</w:t>
      </w:r>
      <w:r w:rsidRPr="003C18EC">
        <w:rPr>
          <w:color w:val="000000"/>
          <w:sz w:val="22"/>
          <w:lang w:val="cs-CZ"/>
        </w:rPr>
        <w:t xml:space="preserve">) staví a buduje špičkové </w:t>
      </w:r>
      <w:proofErr w:type="spellStart"/>
      <w:r w:rsidRPr="003C18EC">
        <w:rPr>
          <w:color w:val="000000"/>
          <w:sz w:val="22"/>
          <w:lang w:val="cs-CZ"/>
        </w:rPr>
        <w:t>semiindustriální</w:t>
      </w:r>
      <w:proofErr w:type="spellEnd"/>
      <w:r w:rsidRPr="003C18EC">
        <w:rPr>
          <w:color w:val="000000"/>
          <w:sz w:val="22"/>
          <w:lang w:val="cs-CZ"/>
        </w:rPr>
        <w:t xml:space="preserve"> stavby a přidružené kancelářské prostory, které si ponechává ve svém vlastnictví a pronajímá je na základě dlouhodobých nájemních smluv renomovaným klientům. Tým zaměstnanců VGP řídí všechny činnosti plně propojeného obchodního modelu: od vyhledávání a koupě pozemku, přes vytvoření koncepce a designu projektu a dohled nad stavebními pracemi, až po uzavírání smluv s potenciálními nájemci a</w:t>
      </w:r>
    </w:p>
    <w:p w:rsidR="00C90D8A" w:rsidRDefault="00C90D8A" w:rsidP="003C18EC">
      <w:pPr>
        <w:autoSpaceDE w:val="0"/>
        <w:autoSpaceDN w:val="0"/>
        <w:adjustRightInd w:val="0"/>
        <w:jc w:val="both"/>
        <w:rPr>
          <w:color w:val="000000"/>
          <w:sz w:val="22"/>
          <w:lang w:val="cs-CZ"/>
        </w:rPr>
      </w:pPr>
    </w:p>
    <w:p w:rsidR="00C90D8A" w:rsidRDefault="00C90D8A" w:rsidP="003C18EC">
      <w:pPr>
        <w:autoSpaceDE w:val="0"/>
        <w:autoSpaceDN w:val="0"/>
        <w:adjustRightInd w:val="0"/>
        <w:jc w:val="both"/>
        <w:rPr>
          <w:color w:val="000000"/>
          <w:sz w:val="22"/>
          <w:lang w:val="cs-CZ"/>
        </w:rPr>
      </w:pPr>
    </w:p>
    <w:p w:rsidR="003C18EC" w:rsidRPr="003C18EC" w:rsidRDefault="003C18EC" w:rsidP="003C18EC">
      <w:pPr>
        <w:autoSpaceDE w:val="0"/>
        <w:autoSpaceDN w:val="0"/>
        <w:adjustRightInd w:val="0"/>
        <w:jc w:val="both"/>
        <w:rPr>
          <w:color w:val="000000"/>
          <w:sz w:val="22"/>
          <w:lang w:val="cs-CZ"/>
        </w:rPr>
      </w:pPr>
      <w:r w:rsidRPr="003C18EC">
        <w:rPr>
          <w:color w:val="000000"/>
          <w:sz w:val="22"/>
          <w:lang w:val="cs-CZ"/>
        </w:rPr>
        <w:t xml:space="preserve">správu nemovitostí v portfoliu. VGP je kótovaná na bruselské burze </w:t>
      </w:r>
      <w:proofErr w:type="spellStart"/>
      <w:r w:rsidRPr="003C18EC">
        <w:rPr>
          <w:color w:val="000000"/>
          <w:sz w:val="22"/>
          <w:lang w:val="cs-CZ"/>
        </w:rPr>
        <w:t>Euronext</w:t>
      </w:r>
      <w:proofErr w:type="spellEnd"/>
      <w:r w:rsidRPr="003C18EC">
        <w:rPr>
          <w:color w:val="000000"/>
          <w:sz w:val="22"/>
          <w:lang w:val="cs-CZ"/>
        </w:rPr>
        <w:t xml:space="preserve"> a na hlavním trhu pražské Burzy cenných papírů. </w:t>
      </w:r>
    </w:p>
    <w:p w:rsidR="003C18EC" w:rsidRPr="003C18EC" w:rsidRDefault="003C18EC" w:rsidP="003C18EC">
      <w:pPr>
        <w:autoSpaceDE w:val="0"/>
        <w:autoSpaceDN w:val="0"/>
        <w:adjustRightInd w:val="0"/>
        <w:jc w:val="both"/>
        <w:rPr>
          <w:color w:val="000000"/>
          <w:sz w:val="22"/>
          <w:lang w:val="cs-CZ"/>
        </w:rPr>
      </w:pPr>
    </w:p>
    <w:p w:rsidR="003C18EC" w:rsidRDefault="003C18EC" w:rsidP="003C18EC">
      <w:pPr>
        <w:rPr>
          <w:b/>
          <w:bCs/>
          <w:sz w:val="22"/>
          <w:lang w:val="cs-CZ"/>
        </w:rPr>
      </w:pPr>
    </w:p>
    <w:p w:rsidR="003C18EC" w:rsidRPr="003C18EC" w:rsidRDefault="003C18EC" w:rsidP="003C18EC">
      <w:pPr>
        <w:rPr>
          <w:b/>
          <w:bCs/>
          <w:sz w:val="22"/>
          <w:lang w:val="cs-CZ"/>
        </w:rPr>
      </w:pPr>
      <w:r>
        <w:rPr>
          <w:b/>
          <w:bCs/>
          <w:sz w:val="22"/>
          <w:lang w:val="cs-CZ"/>
        </w:rPr>
        <w:t>P</w:t>
      </w:r>
      <w:r w:rsidRPr="003C18EC">
        <w:rPr>
          <w:b/>
          <w:bCs/>
          <w:sz w:val="22"/>
          <w:lang w:val="cs-CZ"/>
        </w:rPr>
        <w:t>rofil GEMO</w:t>
      </w:r>
    </w:p>
    <w:p w:rsidR="003C18EC" w:rsidRPr="006F1ABA" w:rsidRDefault="006F1ABA" w:rsidP="003C18EC">
      <w:pPr>
        <w:jc w:val="both"/>
        <w:rPr>
          <w:sz w:val="22"/>
          <w:lang w:val="cs-CZ"/>
        </w:rPr>
      </w:pPr>
      <w:r w:rsidRPr="006F1ABA">
        <w:rPr>
          <w:sz w:val="22"/>
          <w:lang w:val="cs-CZ"/>
        </w:rPr>
        <w:t xml:space="preserve">Skupina GEMO </w:t>
      </w:r>
      <w:r w:rsidRPr="006F1ABA">
        <w:rPr>
          <w:color w:val="0000FF"/>
          <w:sz w:val="22"/>
          <w:lang w:val="cs-CZ"/>
        </w:rPr>
        <w:t>(</w:t>
      </w:r>
      <w:hyperlink r:id="rId8" w:history="1">
        <w:r w:rsidRPr="006F1ABA">
          <w:rPr>
            <w:color w:val="0000FF"/>
            <w:sz w:val="22"/>
            <w:lang w:val="cs-CZ"/>
          </w:rPr>
          <w:t>www.gemo.cz</w:t>
        </w:r>
      </w:hyperlink>
      <w:r w:rsidRPr="006F1ABA">
        <w:rPr>
          <w:color w:val="0000FF"/>
          <w:sz w:val="22"/>
          <w:lang w:val="cs-CZ"/>
        </w:rPr>
        <w:t xml:space="preserve">) </w:t>
      </w:r>
      <w:r w:rsidRPr="006F1ABA">
        <w:rPr>
          <w:sz w:val="22"/>
          <w:lang w:val="cs-CZ"/>
        </w:rPr>
        <w:t xml:space="preserve">má ve svém portfoliu realizaci řady významných </w:t>
      </w:r>
      <w:r>
        <w:rPr>
          <w:sz w:val="22"/>
          <w:lang w:val="cs-CZ"/>
        </w:rPr>
        <w:t>zakázek v České r</w:t>
      </w:r>
      <w:r w:rsidRPr="006F1ABA">
        <w:rPr>
          <w:sz w:val="22"/>
          <w:lang w:val="cs-CZ"/>
        </w:rPr>
        <w:t xml:space="preserve">epublice a na Slovensku, a to jako investor, developer i generální dodavatel. </w:t>
      </w:r>
      <w:proofErr w:type="gramStart"/>
      <w:r w:rsidRPr="006F1ABA">
        <w:rPr>
          <w:sz w:val="22"/>
          <w:lang w:val="cs-CZ"/>
        </w:rPr>
        <w:t>Skupina</w:t>
      </w:r>
      <w:proofErr w:type="gramEnd"/>
      <w:r w:rsidRPr="006F1ABA">
        <w:rPr>
          <w:sz w:val="22"/>
          <w:lang w:val="cs-CZ"/>
        </w:rPr>
        <w:t xml:space="preserve"> GEMO </w:t>
      </w:r>
      <w:proofErr w:type="gramStart"/>
      <w:r w:rsidRPr="006F1ABA">
        <w:rPr>
          <w:sz w:val="22"/>
          <w:lang w:val="cs-CZ"/>
        </w:rPr>
        <w:t>vznikla</w:t>
      </w:r>
      <w:proofErr w:type="gramEnd"/>
      <w:r w:rsidRPr="006F1ABA">
        <w:rPr>
          <w:sz w:val="22"/>
          <w:lang w:val="cs-CZ"/>
        </w:rPr>
        <w:t xml:space="preserve"> jako odpověď na potřeby dynamicky se rozvíjející společnosti GEMO OLOMOUC, spol. s r.o., která letos dovrší 25 let svého působení v oblasti pozemního stavitelství a </w:t>
      </w:r>
      <w:proofErr w:type="spellStart"/>
      <w:r w:rsidRPr="006F1ABA">
        <w:rPr>
          <w:sz w:val="22"/>
          <w:lang w:val="cs-CZ"/>
        </w:rPr>
        <w:t>develo</w:t>
      </w:r>
      <w:r>
        <w:rPr>
          <w:sz w:val="22"/>
          <w:lang w:val="cs-CZ"/>
        </w:rPr>
        <w:t>pmentu</w:t>
      </w:r>
      <w:proofErr w:type="spellEnd"/>
      <w:r>
        <w:rPr>
          <w:sz w:val="22"/>
          <w:lang w:val="cs-CZ"/>
        </w:rPr>
        <w:t>. Výji</w:t>
      </w:r>
      <w:r w:rsidRPr="006F1ABA">
        <w:rPr>
          <w:sz w:val="22"/>
          <w:lang w:val="cs-CZ"/>
        </w:rPr>
        <w:t>mečnost těchto staveb a projektů dokazují mnohá získaná odborná ocenění. V roce 2013 společnost přešla na holdingové</w:t>
      </w:r>
      <w:r w:rsidR="00C90D8A">
        <w:rPr>
          <w:sz w:val="22"/>
          <w:lang w:val="cs-CZ"/>
        </w:rPr>
        <w:t xml:space="preserve"> uspořádání a </w:t>
      </w:r>
      <w:r>
        <w:rPr>
          <w:sz w:val="22"/>
          <w:lang w:val="cs-CZ"/>
        </w:rPr>
        <w:t xml:space="preserve">byla mj. </w:t>
      </w:r>
      <w:r w:rsidR="003C18EC" w:rsidRPr="003C18EC">
        <w:rPr>
          <w:sz w:val="22"/>
          <w:lang w:val="cs-CZ"/>
        </w:rPr>
        <w:t xml:space="preserve">založena </w:t>
      </w:r>
      <w:r>
        <w:rPr>
          <w:sz w:val="22"/>
          <w:lang w:val="cs-CZ"/>
        </w:rPr>
        <w:t xml:space="preserve">i </w:t>
      </w:r>
      <w:r w:rsidR="003C18EC" w:rsidRPr="003C18EC">
        <w:rPr>
          <w:sz w:val="22"/>
          <w:lang w:val="cs-CZ"/>
        </w:rPr>
        <w:t>nová společnost GEMO DEVELOPMENT, spol. s r.o., člen koncernu GEMO (</w:t>
      </w:r>
      <w:r w:rsidR="003C18EC" w:rsidRPr="003C18EC">
        <w:rPr>
          <w:color w:val="0000FF"/>
          <w:sz w:val="22"/>
          <w:lang w:val="cs-CZ"/>
        </w:rPr>
        <w:t>www.gemodevelopment.cz</w:t>
      </w:r>
      <w:r w:rsidR="003C18EC" w:rsidRPr="003C18EC">
        <w:rPr>
          <w:sz w:val="22"/>
          <w:lang w:val="cs-CZ"/>
        </w:rPr>
        <w:t xml:space="preserve">), která </w:t>
      </w:r>
      <w:proofErr w:type="gramStart"/>
      <w:r w:rsidR="003C18EC" w:rsidRPr="003C18EC">
        <w:rPr>
          <w:sz w:val="22"/>
          <w:lang w:val="cs-CZ"/>
        </w:rPr>
        <w:t>zajišťuje</w:t>
      </w:r>
      <w:proofErr w:type="gramEnd"/>
      <w:r w:rsidR="003C18EC" w:rsidRPr="003C18EC">
        <w:rPr>
          <w:sz w:val="22"/>
          <w:lang w:val="cs-CZ"/>
        </w:rPr>
        <w:t xml:space="preserve"> kompletní developerské aktivity skupiny </w:t>
      </w:r>
      <w:proofErr w:type="gramStart"/>
      <w:r w:rsidR="003C18EC" w:rsidRPr="003C18EC">
        <w:rPr>
          <w:sz w:val="22"/>
          <w:lang w:val="cs-CZ"/>
        </w:rPr>
        <w:t>GEMO</w:t>
      </w:r>
      <w:proofErr w:type="gramEnd"/>
      <w:r w:rsidR="003C18EC" w:rsidRPr="003C18EC">
        <w:rPr>
          <w:sz w:val="22"/>
          <w:lang w:val="cs-CZ"/>
        </w:rPr>
        <w:t xml:space="preserve"> a realizuje široké portfolio projektů z oblasti průmyslové, rezidenční, </w:t>
      </w:r>
      <w:proofErr w:type="spellStart"/>
      <w:r w:rsidR="003C18EC" w:rsidRPr="003C18EC">
        <w:rPr>
          <w:sz w:val="22"/>
          <w:lang w:val="cs-CZ"/>
        </w:rPr>
        <w:t>re</w:t>
      </w:r>
      <w:r>
        <w:rPr>
          <w:sz w:val="22"/>
          <w:lang w:val="cs-CZ"/>
        </w:rPr>
        <w:t>tailové</w:t>
      </w:r>
      <w:proofErr w:type="spellEnd"/>
      <w:r>
        <w:rPr>
          <w:sz w:val="22"/>
          <w:lang w:val="cs-CZ"/>
        </w:rPr>
        <w:t xml:space="preserve">, kancelářské, hotelové, </w:t>
      </w:r>
      <w:r w:rsidR="003C18EC" w:rsidRPr="003C18EC">
        <w:rPr>
          <w:sz w:val="22"/>
          <w:lang w:val="cs-CZ"/>
        </w:rPr>
        <w:t>zábavně-sportovní</w:t>
      </w:r>
      <w:r>
        <w:rPr>
          <w:sz w:val="22"/>
          <w:lang w:val="cs-CZ"/>
        </w:rPr>
        <w:t xml:space="preserve"> </w:t>
      </w:r>
      <w:r w:rsidRPr="006F1ABA">
        <w:rPr>
          <w:sz w:val="22"/>
          <w:lang w:val="cs-CZ"/>
        </w:rPr>
        <w:t xml:space="preserve">a z oblasti public </w:t>
      </w:r>
      <w:proofErr w:type="spellStart"/>
      <w:r w:rsidRPr="006F1ABA">
        <w:rPr>
          <w:sz w:val="22"/>
          <w:lang w:val="cs-CZ"/>
        </w:rPr>
        <w:t>private</w:t>
      </w:r>
      <w:proofErr w:type="spellEnd"/>
      <w:r w:rsidRPr="006F1ABA">
        <w:rPr>
          <w:sz w:val="22"/>
          <w:lang w:val="cs-CZ"/>
        </w:rPr>
        <w:t xml:space="preserve"> </w:t>
      </w:r>
      <w:proofErr w:type="spellStart"/>
      <w:r w:rsidRPr="006F1ABA">
        <w:rPr>
          <w:sz w:val="22"/>
          <w:lang w:val="cs-CZ"/>
        </w:rPr>
        <w:t>partnership</w:t>
      </w:r>
      <w:proofErr w:type="spellEnd"/>
      <w:r w:rsidRPr="006F1ABA">
        <w:rPr>
          <w:sz w:val="22"/>
          <w:lang w:val="cs-CZ"/>
        </w:rPr>
        <w:t>.</w:t>
      </w:r>
    </w:p>
    <w:p w:rsidR="003C18EC" w:rsidRDefault="003C18EC" w:rsidP="003C18EC">
      <w:pPr>
        <w:jc w:val="both"/>
        <w:rPr>
          <w:b/>
          <w:sz w:val="22"/>
          <w:lang w:val="cs-CZ"/>
        </w:rPr>
      </w:pPr>
    </w:p>
    <w:p w:rsidR="003C18EC" w:rsidRPr="003C18EC" w:rsidRDefault="003C18EC" w:rsidP="003C18EC">
      <w:pPr>
        <w:jc w:val="both"/>
        <w:rPr>
          <w:b/>
          <w:sz w:val="22"/>
          <w:lang w:val="cs-CZ"/>
        </w:rPr>
      </w:pPr>
      <w:r w:rsidRPr="003C18EC">
        <w:rPr>
          <w:b/>
          <w:sz w:val="22"/>
          <w:lang w:val="cs-CZ"/>
        </w:rPr>
        <w:t>Kontakt pro média:</w:t>
      </w:r>
    </w:p>
    <w:p w:rsidR="003C18EC" w:rsidRPr="003C18EC" w:rsidRDefault="003C18EC" w:rsidP="003C18EC">
      <w:pPr>
        <w:rPr>
          <w:sz w:val="22"/>
          <w:lang w:val="cs-CZ"/>
        </w:rPr>
      </w:pPr>
      <w:r w:rsidRPr="003C18EC">
        <w:rPr>
          <w:b/>
          <w:sz w:val="22"/>
          <w:lang w:val="cs-CZ"/>
        </w:rPr>
        <w:t>VGP</w:t>
      </w:r>
      <w:r w:rsidRPr="003C18EC">
        <w:rPr>
          <w:sz w:val="22"/>
          <w:lang w:val="cs-CZ"/>
        </w:rPr>
        <w:br/>
        <w:t>Jan Van Geet</w:t>
      </w:r>
      <w:r w:rsidRPr="003C18EC">
        <w:rPr>
          <w:sz w:val="22"/>
          <w:lang w:val="cs-CZ"/>
        </w:rPr>
        <w:br/>
        <w:t>Generální ředitel</w:t>
      </w:r>
      <w:r w:rsidRPr="003C18EC">
        <w:rPr>
          <w:sz w:val="22"/>
          <w:lang w:val="cs-CZ"/>
        </w:rPr>
        <w:br/>
        <w:t>Tel. +420 602 404 790</w:t>
      </w:r>
      <w:r w:rsidRPr="003C18EC">
        <w:rPr>
          <w:sz w:val="22"/>
          <w:lang w:val="cs-CZ"/>
        </w:rPr>
        <w:br/>
        <w:t>e-mail: jan.van.geet@vgpparks.eu</w:t>
      </w:r>
    </w:p>
    <w:p w:rsidR="003C18EC" w:rsidRPr="003C18EC" w:rsidRDefault="003C18EC" w:rsidP="003C18EC">
      <w:pPr>
        <w:autoSpaceDE w:val="0"/>
        <w:autoSpaceDN w:val="0"/>
        <w:adjustRightInd w:val="0"/>
        <w:rPr>
          <w:color w:val="000000"/>
          <w:sz w:val="22"/>
          <w:lang w:val="cs-CZ"/>
        </w:rPr>
      </w:pPr>
    </w:p>
    <w:p w:rsidR="003E6987" w:rsidRPr="003C18EC" w:rsidRDefault="003E6987" w:rsidP="003E6987">
      <w:pPr>
        <w:rPr>
          <w:lang w:val="cs-CZ"/>
        </w:rPr>
      </w:pPr>
    </w:p>
    <w:sectPr w:rsidR="003E6987" w:rsidRPr="003C18EC" w:rsidSect="003C18EC">
      <w:headerReference w:type="default" r:id="rId9"/>
      <w:footerReference w:type="default" r:id="rId10"/>
      <w:footnotePr>
        <w:numRestart w:val="eachPage"/>
      </w:footnotePr>
      <w:pgSz w:w="11907" w:h="16840" w:code="9"/>
      <w:pgMar w:top="2126" w:right="1077" w:bottom="1276" w:left="1701" w:header="709" w:footer="142" w:gutter="0"/>
      <w:pgNumType w:start="1"/>
      <w:cols w:space="708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702" w:rsidRDefault="00E74702">
      <w:r>
        <w:separator/>
      </w:r>
    </w:p>
  </w:endnote>
  <w:endnote w:type="continuationSeparator" w:id="0">
    <w:p w:rsidR="00E74702" w:rsidRDefault="00E747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7D2" w:rsidRPr="00CA0404" w:rsidRDefault="00E01E30" w:rsidP="006107D2">
    <w:pPr>
      <w:pStyle w:val="Zpat"/>
      <w:spacing w:line="276" w:lineRule="auto"/>
      <w:contextualSpacing/>
      <w:rPr>
        <w:rFonts w:ascii="Tahoma" w:hAnsi="Tahoma" w:cs="Tahoma"/>
        <w:color w:val="FFFFFF"/>
        <w:spacing w:val="18"/>
        <w:sz w:val="18"/>
      </w:rPr>
    </w:pPr>
    <w:r>
      <w:rPr>
        <w:rFonts w:ascii="Tahoma" w:hAnsi="Tahoma" w:cs="Tahoma"/>
        <w:b/>
        <w:color w:val="FFFFFF"/>
        <w:spacing w:val="18"/>
        <w:sz w:val="18"/>
      </w:rPr>
      <w:t xml:space="preserve">VGP </w:t>
    </w:r>
    <w:r w:rsidR="00362DD3">
      <w:rPr>
        <w:rFonts w:ascii="Tahoma" w:hAnsi="Tahoma" w:cs="Tahoma"/>
        <w:b/>
        <w:color w:val="FFFFFF"/>
        <w:spacing w:val="18"/>
        <w:sz w:val="18"/>
      </w:rPr>
      <w:t xml:space="preserve">NV </w:t>
    </w:r>
    <w:r w:rsidR="006E4244" w:rsidRPr="00FE081C">
      <w:rPr>
        <w:rFonts w:ascii="Tahoma" w:hAnsi="Tahoma" w:cs="Tahoma"/>
        <w:b/>
        <w:color w:val="FFFFFF"/>
        <w:spacing w:val="18"/>
        <w:sz w:val="18"/>
      </w:rPr>
      <w:t>|</w:t>
    </w:r>
    <w:r w:rsidR="001C2A05" w:rsidRPr="00FE081C">
      <w:rPr>
        <w:rFonts w:ascii="Tahoma" w:hAnsi="Tahoma" w:cs="Tahoma"/>
        <w:color w:val="FFFFFF"/>
        <w:spacing w:val="18"/>
        <w:sz w:val="18"/>
      </w:rPr>
      <w:t xml:space="preserve"> </w:t>
    </w:r>
    <w:r w:rsidR="0016106B">
      <w:rPr>
        <w:rFonts w:ascii="Tahoma" w:hAnsi="Tahoma" w:cs="Tahoma"/>
        <w:noProof/>
        <w:color w:val="FFFFFF"/>
        <w:spacing w:val="18"/>
        <w:sz w:val="18"/>
      </w:rPr>
      <w:t>Spinnerijstraat 12</w:t>
    </w:r>
    <w:r w:rsidR="00362DD3">
      <w:rPr>
        <w:rFonts w:ascii="Tahoma" w:hAnsi="Tahoma" w:cs="Tahoma"/>
        <w:noProof/>
        <w:color w:val="FFFFFF"/>
        <w:spacing w:val="18"/>
        <w:sz w:val="18"/>
      </w:rPr>
      <w:t xml:space="preserve">, </w:t>
    </w:r>
    <w:r w:rsidR="0016106B">
      <w:rPr>
        <w:rFonts w:ascii="Tahoma" w:hAnsi="Tahoma" w:cs="Tahoma"/>
        <w:noProof/>
        <w:color w:val="FFFFFF"/>
        <w:spacing w:val="18"/>
        <w:sz w:val="18"/>
      </w:rPr>
      <w:t>B-9240</w:t>
    </w:r>
    <w:r w:rsidR="00362DD3">
      <w:rPr>
        <w:rFonts w:ascii="Tahoma" w:hAnsi="Tahoma" w:cs="Tahoma"/>
        <w:noProof/>
        <w:color w:val="FFFFFF"/>
        <w:spacing w:val="18"/>
        <w:sz w:val="18"/>
      </w:rPr>
      <w:t xml:space="preserve"> </w:t>
    </w:r>
    <w:r w:rsidR="0016106B">
      <w:rPr>
        <w:rFonts w:ascii="Tahoma" w:hAnsi="Tahoma" w:cs="Tahoma"/>
        <w:noProof/>
        <w:color w:val="FFFFFF"/>
        <w:spacing w:val="18"/>
        <w:sz w:val="18"/>
      </w:rPr>
      <w:t>Zele</w:t>
    </w:r>
    <w:r w:rsidR="00362DD3">
      <w:rPr>
        <w:rFonts w:ascii="Tahoma" w:hAnsi="Tahoma" w:cs="Tahoma"/>
        <w:noProof/>
        <w:color w:val="FFFFFF"/>
        <w:spacing w:val="18"/>
        <w:sz w:val="18"/>
      </w:rPr>
      <w:t>, Belgium</w:t>
    </w:r>
    <w:r w:rsidR="00CE7A6E" w:rsidRPr="00CA0404">
      <w:rPr>
        <w:rFonts w:ascii="Tahoma" w:hAnsi="Tahoma" w:cs="Tahoma"/>
        <w:color w:val="FFFFFF"/>
        <w:spacing w:val="18"/>
        <w:sz w:val="18"/>
      </w:rPr>
      <w:t xml:space="preserve"> </w:t>
    </w:r>
  </w:p>
  <w:p w:rsidR="00E01E30" w:rsidRDefault="00362DD3" w:rsidP="006107D2">
    <w:pPr>
      <w:pStyle w:val="Zpat"/>
      <w:spacing w:line="276" w:lineRule="auto"/>
      <w:contextualSpacing/>
      <w:rPr>
        <w:rFonts w:ascii="Tahoma" w:hAnsi="Tahoma" w:cs="Tahoma"/>
        <w:noProof/>
        <w:color w:val="FFFFFF"/>
        <w:spacing w:val="18"/>
        <w:sz w:val="18"/>
      </w:rPr>
    </w:pPr>
    <w:r>
      <w:rPr>
        <w:rFonts w:ascii="Tahoma" w:hAnsi="Tahoma" w:cs="Tahoma"/>
        <w:color w:val="FFFFFF"/>
        <w:spacing w:val="18"/>
        <w:sz w:val="18"/>
      </w:rPr>
      <w:t>Tel.: +32</w:t>
    </w:r>
    <w:r w:rsidR="006F7B5A">
      <w:rPr>
        <w:rFonts w:ascii="Tahoma" w:hAnsi="Tahoma" w:cs="Tahoma"/>
        <w:color w:val="FFFFFF"/>
        <w:spacing w:val="18"/>
        <w:sz w:val="18"/>
      </w:rPr>
      <w:t xml:space="preserve"> 52</w:t>
    </w:r>
    <w:r>
      <w:rPr>
        <w:rFonts w:ascii="Tahoma" w:hAnsi="Tahoma" w:cs="Tahoma"/>
        <w:color w:val="FFFFFF"/>
        <w:spacing w:val="18"/>
        <w:sz w:val="18"/>
      </w:rPr>
      <w:t xml:space="preserve"> </w:t>
    </w:r>
    <w:r w:rsidR="006F7B5A">
      <w:rPr>
        <w:rFonts w:ascii="Tahoma" w:hAnsi="Tahoma" w:cs="Tahoma"/>
        <w:color w:val="FFFFFF"/>
        <w:spacing w:val="18"/>
        <w:sz w:val="18"/>
      </w:rPr>
      <w:t>45 43 86</w:t>
    </w:r>
    <w:r>
      <w:rPr>
        <w:rFonts w:ascii="Tahoma" w:hAnsi="Tahoma" w:cs="Tahoma"/>
        <w:color w:val="FFFFFF"/>
        <w:spacing w:val="18"/>
        <w:sz w:val="18"/>
      </w:rPr>
      <w:t xml:space="preserve"> </w:t>
    </w:r>
    <w:r w:rsidRPr="00FE081C">
      <w:rPr>
        <w:rFonts w:ascii="Tahoma" w:hAnsi="Tahoma" w:cs="Tahoma"/>
        <w:b/>
        <w:noProof/>
        <w:color w:val="FFFFFF"/>
        <w:spacing w:val="18"/>
        <w:sz w:val="18"/>
      </w:rPr>
      <w:t>|</w:t>
    </w:r>
    <w:r w:rsidRPr="00FE081C">
      <w:rPr>
        <w:rFonts w:ascii="Tahoma" w:hAnsi="Tahoma" w:cs="Tahoma"/>
        <w:noProof/>
        <w:color w:val="FFFFFF"/>
        <w:spacing w:val="18"/>
        <w:sz w:val="18"/>
      </w:rPr>
      <w:t xml:space="preserve"> </w:t>
    </w:r>
    <w:r w:rsidR="006F7B5A">
      <w:rPr>
        <w:rFonts w:ascii="Tahoma" w:hAnsi="Tahoma" w:cs="Tahoma"/>
        <w:noProof/>
        <w:color w:val="FFFFFF"/>
        <w:spacing w:val="18"/>
        <w:sz w:val="18"/>
      </w:rPr>
      <w:t>Fax +32 52 45 43 87</w:t>
    </w:r>
    <w:r w:rsidR="00995DB2" w:rsidRPr="00FE081C">
      <w:rPr>
        <w:rFonts w:ascii="Tahoma" w:hAnsi="Tahoma" w:cs="Tahoma"/>
        <w:color w:val="FFFFFF"/>
        <w:spacing w:val="18"/>
        <w:sz w:val="18"/>
      </w:rPr>
      <w:t xml:space="preserve"> </w:t>
    </w:r>
    <w:r w:rsidR="00995DB2" w:rsidRPr="00FE081C">
      <w:rPr>
        <w:rFonts w:ascii="Tahoma" w:hAnsi="Tahoma" w:cs="Tahoma"/>
        <w:b/>
        <w:noProof/>
        <w:color w:val="FFFFFF"/>
        <w:spacing w:val="18"/>
        <w:sz w:val="18"/>
      </w:rPr>
      <w:t>|</w:t>
    </w:r>
    <w:r w:rsidR="00995DB2" w:rsidRPr="00FE081C">
      <w:rPr>
        <w:rFonts w:ascii="Tahoma" w:hAnsi="Tahoma" w:cs="Tahoma"/>
        <w:noProof/>
        <w:color w:val="FFFFFF"/>
        <w:spacing w:val="18"/>
        <w:sz w:val="18"/>
      </w:rPr>
      <w:t xml:space="preserve"> www.vgpparks.eu</w:t>
    </w:r>
    <w:r w:rsidR="001C2A05" w:rsidRPr="00FE081C">
      <w:rPr>
        <w:rFonts w:ascii="Tahoma" w:hAnsi="Tahoma" w:cs="Tahoma"/>
        <w:noProof/>
        <w:color w:val="FFFFFF"/>
        <w:spacing w:val="18"/>
        <w:sz w:val="18"/>
      </w:rPr>
      <w:t xml:space="preserve"> </w:t>
    </w:r>
  </w:p>
  <w:p w:rsidR="00CD0F88" w:rsidRPr="00CA0404" w:rsidRDefault="00CA0404" w:rsidP="006107D2">
    <w:pPr>
      <w:pStyle w:val="Zpat"/>
      <w:spacing w:line="276" w:lineRule="auto"/>
      <w:contextualSpacing/>
      <w:rPr>
        <w:rFonts w:ascii="Tahoma" w:hAnsi="Tahoma" w:cs="Tahoma"/>
        <w:color w:val="FFFFFF"/>
        <w:spacing w:val="18"/>
        <w:sz w:val="18"/>
        <w:szCs w:val="18"/>
      </w:rPr>
    </w:pPr>
    <w:r>
      <w:rPr>
        <w:rFonts w:ascii="Tahoma" w:hAnsi="Tahoma" w:cs="Tahoma"/>
        <w:noProof/>
        <w:color w:val="FFFFFF"/>
        <w:spacing w:val="18"/>
        <w:sz w:val="18"/>
        <w:szCs w:val="18"/>
      </w:rPr>
      <w:t>R</w:t>
    </w:r>
    <w:r w:rsidR="00362DD3">
      <w:rPr>
        <w:rFonts w:ascii="Tahoma" w:hAnsi="Tahoma" w:cs="Tahoma"/>
        <w:noProof/>
        <w:color w:val="FFFFFF"/>
        <w:spacing w:val="18"/>
        <w:sz w:val="18"/>
        <w:szCs w:val="18"/>
      </w:rPr>
      <w:t xml:space="preserve">PR </w:t>
    </w:r>
    <w:r w:rsidR="006F7B5A">
      <w:rPr>
        <w:rFonts w:ascii="Tahoma" w:hAnsi="Tahoma" w:cs="Tahoma"/>
        <w:noProof/>
        <w:color w:val="FFFFFF"/>
        <w:spacing w:val="18"/>
        <w:sz w:val="18"/>
        <w:szCs w:val="18"/>
      </w:rPr>
      <w:t>Dendermonde</w:t>
    </w:r>
    <w:r w:rsidR="00362DD3" w:rsidRPr="00362DD3">
      <w:rPr>
        <w:rFonts w:ascii="Tahoma" w:hAnsi="Tahoma" w:cs="Tahoma"/>
        <w:b/>
        <w:color w:val="FFFFFF"/>
        <w:spacing w:val="18"/>
        <w:sz w:val="18"/>
      </w:rPr>
      <w:t xml:space="preserve"> </w:t>
    </w:r>
    <w:r w:rsidR="00362DD3" w:rsidRPr="00362DD3">
      <w:rPr>
        <w:rFonts w:ascii="Tahoma" w:hAnsi="Tahoma" w:cs="Tahoma"/>
        <w:b/>
        <w:noProof/>
        <w:color w:val="FFFFFF"/>
        <w:spacing w:val="18"/>
        <w:sz w:val="18"/>
      </w:rPr>
      <w:t xml:space="preserve">| </w:t>
    </w:r>
    <w:r w:rsidR="00362DD3" w:rsidRPr="00362DD3">
      <w:rPr>
        <w:rFonts w:ascii="Tahoma" w:hAnsi="Tahoma" w:cs="Tahoma"/>
        <w:noProof/>
        <w:color w:val="FFFFFF"/>
        <w:spacing w:val="18"/>
        <w:sz w:val="18"/>
      </w:rPr>
      <w:t>BTW</w:t>
    </w:r>
    <w:r w:rsidR="00362DD3" w:rsidRPr="00362DD3">
      <w:rPr>
        <w:rFonts w:ascii="Tahoma" w:hAnsi="Tahoma" w:cs="Tahoma"/>
        <w:b/>
        <w:noProof/>
        <w:color w:val="FFFFFF"/>
        <w:spacing w:val="18"/>
        <w:sz w:val="18"/>
      </w:rPr>
      <w:t xml:space="preserve"> </w:t>
    </w:r>
    <w:r w:rsidR="00362DD3" w:rsidRPr="00362DD3">
      <w:rPr>
        <w:rFonts w:ascii="Tahoma" w:hAnsi="Tahoma" w:cs="Tahoma"/>
        <w:noProof/>
        <w:color w:val="FFFFFF"/>
        <w:spacing w:val="18"/>
        <w:sz w:val="18"/>
        <w:szCs w:val="18"/>
      </w:rPr>
      <w:t xml:space="preserve">BE 0887.216.042 </w:t>
    </w:r>
    <w:r w:rsidR="00362DD3" w:rsidRPr="00362DD3">
      <w:rPr>
        <w:rFonts w:ascii="Tahoma" w:hAnsi="Tahoma" w:cs="Tahoma"/>
        <w:b/>
        <w:noProof/>
        <w:color w:val="FFFFFF"/>
        <w:spacing w:val="18"/>
        <w:sz w:val="18"/>
      </w:rPr>
      <w:t xml:space="preserve">| </w:t>
    </w:r>
    <w:r w:rsidR="00362DD3" w:rsidRPr="00362DD3">
      <w:rPr>
        <w:rFonts w:ascii="Tahoma" w:hAnsi="Tahoma" w:cs="Tahoma"/>
        <w:noProof/>
        <w:color w:val="FFFFFF"/>
        <w:spacing w:val="18"/>
        <w:sz w:val="18"/>
      </w:rPr>
      <w:t xml:space="preserve">KBC IBAN BE91 7330 3992 0176 </w:t>
    </w:r>
    <w:r w:rsidR="00362DD3" w:rsidRPr="00362DD3">
      <w:rPr>
        <w:rFonts w:ascii="Tahoma" w:hAnsi="Tahoma" w:cs="Tahoma"/>
        <w:b/>
        <w:noProof/>
        <w:color w:val="FFFFFF"/>
        <w:spacing w:val="18"/>
        <w:sz w:val="18"/>
      </w:rPr>
      <w:t xml:space="preserve">| </w:t>
    </w:r>
    <w:r w:rsidR="00362DD3" w:rsidRPr="00362DD3">
      <w:rPr>
        <w:rFonts w:ascii="Tahoma" w:hAnsi="Tahoma" w:cs="Tahoma"/>
        <w:noProof/>
        <w:color w:val="FFFFFF"/>
        <w:spacing w:val="18"/>
        <w:sz w:val="18"/>
      </w:rPr>
      <w:t>BIC KREDBEBB</w:t>
    </w:r>
    <w:r w:rsidR="001C2A05" w:rsidRPr="00CA0404">
      <w:rPr>
        <w:rFonts w:ascii="Tahoma" w:hAnsi="Tahoma" w:cs="Tahoma"/>
        <w:color w:val="FFFFFF"/>
        <w:spacing w:val="18"/>
        <w:sz w:val="18"/>
        <w:szCs w:val="18"/>
      </w:rPr>
      <w:t xml:space="preserve"> </w:t>
    </w:r>
  </w:p>
  <w:p w:rsidR="00CE7A6E" w:rsidRPr="002E0679" w:rsidRDefault="00CE7A6E" w:rsidP="006107D2">
    <w:pPr>
      <w:tabs>
        <w:tab w:val="left" w:pos="567"/>
      </w:tabs>
      <w:spacing w:line="276" w:lineRule="auto"/>
      <w:contextualSpacing/>
      <w:jc w:val="center"/>
      <w:outlineLvl w:val="8"/>
      <w:rPr>
        <w:lang w:val="cs-CZ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702" w:rsidRDefault="00E74702">
      <w:r>
        <w:separator/>
      </w:r>
    </w:p>
  </w:footnote>
  <w:footnote w:type="continuationSeparator" w:id="0">
    <w:p w:rsidR="00E74702" w:rsidRDefault="00E747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A6E" w:rsidRDefault="00C90D8A">
    <w:pPr>
      <w:pStyle w:val="Zhlav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-260985</wp:posOffset>
          </wp:positionH>
          <wp:positionV relativeFrom="paragraph">
            <wp:posOffset>-233680</wp:posOffset>
          </wp:positionV>
          <wp:extent cx="1518920" cy="1213485"/>
          <wp:effectExtent l="0" t="0" r="5080" b="5715"/>
          <wp:wrapTight wrapText="bothSides">
            <wp:wrapPolygon edited="0">
              <wp:start x="0" y="0"/>
              <wp:lineTo x="0" y="21363"/>
              <wp:lineTo x="21401" y="21363"/>
              <wp:lineTo x="21401" y="0"/>
              <wp:lineTo x="0" y="0"/>
            </wp:wrapPolygon>
          </wp:wrapTight>
          <wp:docPr id="2" name="obrázek 2" descr="VGP_logo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GP_logo_bar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920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C18EC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3586480</wp:posOffset>
          </wp:positionH>
          <wp:positionV relativeFrom="paragraph">
            <wp:posOffset>128270</wp:posOffset>
          </wp:positionV>
          <wp:extent cx="2200275" cy="436245"/>
          <wp:effectExtent l="0" t="0" r="9525" b="1905"/>
          <wp:wrapTight wrapText="bothSides">
            <wp:wrapPolygon edited="0">
              <wp:start x="0" y="0"/>
              <wp:lineTo x="0" y="20751"/>
              <wp:lineTo x="21506" y="20751"/>
              <wp:lineTo x="21506" y="0"/>
              <wp:lineTo x="0" y="0"/>
            </wp:wrapPolygon>
          </wp:wrapTight>
          <wp:docPr id="3" name="Obrázek 3" descr="H:\PETRA\MARKETING\PUBLIC RELATIONS\Press Releases\Olomouc-Hnevotin\GemoHorizontal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PETRA\MARKETING\PUBLIC RELATIONS\Press Releases\Olomouc-Hnevotin\GemoHorizontal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535AB"/>
    <w:multiLevelType w:val="hybridMultilevel"/>
    <w:tmpl w:val="08AE7254"/>
    <w:lvl w:ilvl="0" w:tplc="0405000F">
      <w:start w:val="1"/>
      <w:numFmt w:val="decimal"/>
      <w:pStyle w:val="AODocTxt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762598"/>
    <w:multiLevelType w:val="hybridMultilevel"/>
    <w:tmpl w:val="C4209B9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BC0713D"/>
    <w:multiLevelType w:val="hybridMultilevel"/>
    <w:tmpl w:val="DFD2F928"/>
    <w:lvl w:ilvl="0" w:tplc="1EBEA96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E87FEE"/>
    <w:multiLevelType w:val="multilevel"/>
    <w:tmpl w:val="E8A0DC0E"/>
    <w:lvl w:ilvl="0">
      <w:start w:val="19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ahoma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ahoma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ahoma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attachedTemplate r:id="rId1"/>
  <w:stylePaneFormatFilter w:val="3F01"/>
  <w:defaultTabStop w:val="720"/>
  <w:hyphenationZone w:val="425"/>
  <w:doNotHyphenateCaps/>
  <w:drawingGridHorizontalSpacing w:val="100"/>
  <w:drawingGridVerticalSpacing w:val="40"/>
  <w:displayHorizontalDrawingGridEvery w:val="0"/>
  <w:displayVerticalDrawingGridEvery w:val="2"/>
  <w:doNotShadeFormData/>
  <w:characterSpacingControl w:val="compressPunctuation"/>
  <w:hdrShapeDefaults>
    <o:shapedefaults v:ext="edit" spidmax="6145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3E6987"/>
    <w:rsid w:val="000212A9"/>
    <w:rsid w:val="00024DC7"/>
    <w:rsid w:val="000262D3"/>
    <w:rsid w:val="000617B7"/>
    <w:rsid w:val="000F08D8"/>
    <w:rsid w:val="000F24B8"/>
    <w:rsid w:val="000F7581"/>
    <w:rsid w:val="001363BF"/>
    <w:rsid w:val="00151EC6"/>
    <w:rsid w:val="001576E4"/>
    <w:rsid w:val="0016106B"/>
    <w:rsid w:val="001A7627"/>
    <w:rsid w:val="001C2A05"/>
    <w:rsid w:val="001E7A4A"/>
    <w:rsid w:val="00204EEE"/>
    <w:rsid w:val="00227F04"/>
    <w:rsid w:val="00290E61"/>
    <w:rsid w:val="002A1E59"/>
    <w:rsid w:val="002A4EA8"/>
    <w:rsid w:val="002B41F2"/>
    <w:rsid w:val="002C1B47"/>
    <w:rsid w:val="002C5403"/>
    <w:rsid w:val="002E0679"/>
    <w:rsid w:val="002E4865"/>
    <w:rsid w:val="003078A0"/>
    <w:rsid w:val="003148A5"/>
    <w:rsid w:val="003230FB"/>
    <w:rsid w:val="0034565B"/>
    <w:rsid w:val="00362DD3"/>
    <w:rsid w:val="00364204"/>
    <w:rsid w:val="003B5C24"/>
    <w:rsid w:val="003C18EC"/>
    <w:rsid w:val="003C7F1B"/>
    <w:rsid w:val="003D7A96"/>
    <w:rsid w:val="003E6987"/>
    <w:rsid w:val="00402302"/>
    <w:rsid w:val="00463817"/>
    <w:rsid w:val="0047351B"/>
    <w:rsid w:val="004800E5"/>
    <w:rsid w:val="00493F8D"/>
    <w:rsid w:val="004A46F3"/>
    <w:rsid w:val="004B03C8"/>
    <w:rsid w:val="004C1B8D"/>
    <w:rsid w:val="004F65A3"/>
    <w:rsid w:val="004F7AC7"/>
    <w:rsid w:val="00512A8E"/>
    <w:rsid w:val="005133A0"/>
    <w:rsid w:val="00527D8F"/>
    <w:rsid w:val="00533737"/>
    <w:rsid w:val="005B46CC"/>
    <w:rsid w:val="005C4CFB"/>
    <w:rsid w:val="005D76BA"/>
    <w:rsid w:val="005D7BBA"/>
    <w:rsid w:val="00602EF3"/>
    <w:rsid w:val="006077F7"/>
    <w:rsid w:val="006107D2"/>
    <w:rsid w:val="00613EE2"/>
    <w:rsid w:val="006541F8"/>
    <w:rsid w:val="00677176"/>
    <w:rsid w:val="00684238"/>
    <w:rsid w:val="00684599"/>
    <w:rsid w:val="00686522"/>
    <w:rsid w:val="006A6B26"/>
    <w:rsid w:val="006C3B10"/>
    <w:rsid w:val="006E4244"/>
    <w:rsid w:val="006F1ABA"/>
    <w:rsid w:val="006F7B5A"/>
    <w:rsid w:val="007023E0"/>
    <w:rsid w:val="00721050"/>
    <w:rsid w:val="00727036"/>
    <w:rsid w:val="007B4B29"/>
    <w:rsid w:val="007C083D"/>
    <w:rsid w:val="007C7F91"/>
    <w:rsid w:val="007D5A48"/>
    <w:rsid w:val="0084718B"/>
    <w:rsid w:val="008665D6"/>
    <w:rsid w:val="0089790F"/>
    <w:rsid w:val="00897A83"/>
    <w:rsid w:val="008F2CB0"/>
    <w:rsid w:val="008F4021"/>
    <w:rsid w:val="009502DF"/>
    <w:rsid w:val="0096522C"/>
    <w:rsid w:val="00987F55"/>
    <w:rsid w:val="00995DB2"/>
    <w:rsid w:val="009E0C55"/>
    <w:rsid w:val="00A8608E"/>
    <w:rsid w:val="00A90C26"/>
    <w:rsid w:val="00AA1E1B"/>
    <w:rsid w:val="00AC2248"/>
    <w:rsid w:val="00AF0005"/>
    <w:rsid w:val="00B20C8F"/>
    <w:rsid w:val="00B22DE3"/>
    <w:rsid w:val="00B6293D"/>
    <w:rsid w:val="00B6368F"/>
    <w:rsid w:val="00BC517F"/>
    <w:rsid w:val="00BD65C6"/>
    <w:rsid w:val="00BF24D7"/>
    <w:rsid w:val="00C0108D"/>
    <w:rsid w:val="00C5220A"/>
    <w:rsid w:val="00C604B9"/>
    <w:rsid w:val="00C90D8A"/>
    <w:rsid w:val="00CA0404"/>
    <w:rsid w:val="00CA3DE3"/>
    <w:rsid w:val="00CD0F88"/>
    <w:rsid w:val="00CE0AFE"/>
    <w:rsid w:val="00CE77EF"/>
    <w:rsid w:val="00CE7A6E"/>
    <w:rsid w:val="00D02869"/>
    <w:rsid w:val="00D13E1B"/>
    <w:rsid w:val="00D2050B"/>
    <w:rsid w:val="00D23545"/>
    <w:rsid w:val="00D332B3"/>
    <w:rsid w:val="00D41C1D"/>
    <w:rsid w:val="00D451FB"/>
    <w:rsid w:val="00D656A2"/>
    <w:rsid w:val="00D663B9"/>
    <w:rsid w:val="00DC611E"/>
    <w:rsid w:val="00DD2B43"/>
    <w:rsid w:val="00DF123B"/>
    <w:rsid w:val="00E01E30"/>
    <w:rsid w:val="00E227B6"/>
    <w:rsid w:val="00E705CC"/>
    <w:rsid w:val="00E74702"/>
    <w:rsid w:val="00EC1670"/>
    <w:rsid w:val="00EE03A0"/>
    <w:rsid w:val="00F073E4"/>
    <w:rsid w:val="00F63BCF"/>
    <w:rsid w:val="00F81778"/>
    <w:rsid w:val="00F86E87"/>
    <w:rsid w:val="00FD7EED"/>
    <w:rsid w:val="00FE081C"/>
    <w:rsid w:val="00FE1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ahoma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6987"/>
    <w:rPr>
      <w:rFonts w:cs="Times New Roman"/>
      <w:sz w:val="24"/>
      <w:szCs w:val="24"/>
      <w:lang w:val="en-US" w:eastAsia="en-US"/>
    </w:rPr>
  </w:style>
  <w:style w:type="paragraph" w:styleId="Nadpis1">
    <w:name w:val="heading 1"/>
    <w:basedOn w:val="Normln"/>
    <w:next w:val="Normln"/>
    <w:qFormat/>
    <w:rsid w:val="00D0286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8" w:color="auto"/>
      </w:pBdr>
      <w:tabs>
        <w:tab w:val="left" w:pos="3119"/>
      </w:tabs>
      <w:autoSpaceDE w:val="0"/>
      <w:autoSpaceDN w:val="0"/>
      <w:adjustRightInd w:val="0"/>
      <w:spacing w:before="926" w:line="259" w:lineRule="exact"/>
      <w:ind w:right="8401"/>
      <w:outlineLvl w:val="0"/>
    </w:pPr>
    <w:rPr>
      <w:b/>
      <w:bCs/>
      <w:sz w:val="28"/>
      <w:szCs w:val="22"/>
      <w:lang w:eastAsia="cs-CZ"/>
    </w:rPr>
  </w:style>
  <w:style w:type="paragraph" w:styleId="Nadpis2">
    <w:name w:val="heading 2"/>
    <w:basedOn w:val="Normln"/>
    <w:next w:val="Normln"/>
    <w:qFormat/>
    <w:rsid w:val="00D02869"/>
    <w:pPr>
      <w:keepNext/>
      <w:tabs>
        <w:tab w:val="left" w:pos="1843"/>
      </w:tabs>
      <w:autoSpaceDE w:val="0"/>
      <w:autoSpaceDN w:val="0"/>
      <w:adjustRightInd w:val="0"/>
      <w:ind w:left="567"/>
      <w:jc w:val="center"/>
      <w:outlineLvl w:val="1"/>
    </w:pPr>
    <w:rPr>
      <w:rFonts w:ascii="Arial" w:hAnsi="Arial" w:cs="Arial"/>
      <w:b/>
      <w:bCs/>
      <w:sz w:val="28"/>
      <w:szCs w:val="50"/>
      <w:u w:val="single"/>
      <w:lang w:val="cs-CZ" w:eastAsia="cs-CZ"/>
    </w:rPr>
  </w:style>
  <w:style w:type="paragraph" w:styleId="Nadpis3">
    <w:name w:val="heading 3"/>
    <w:basedOn w:val="Normln"/>
    <w:next w:val="Normln"/>
    <w:qFormat/>
    <w:rsid w:val="00D0286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0"/>
      </w:tabs>
      <w:autoSpaceDE w:val="0"/>
      <w:autoSpaceDN w:val="0"/>
      <w:adjustRightInd w:val="0"/>
      <w:ind w:left="5133"/>
      <w:jc w:val="both"/>
      <w:outlineLvl w:val="2"/>
    </w:pPr>
    <w:rPr>
      <w:rFonts w:ascii="Bookman Old Style" w:hAnsi="Bookman Old Style" w:cs="Arial"/>
      <w:b/>
      <w:sz w:val="28"/>
      <w:szCs w:val="22"/>
      <w:lang w:val="cs-CZ" w:eastAsia="cs-CZ"/>
    </w:rPr>
  </w:style>
  <w:style w:type="paragraph" w:styleId="Nadpis5">
    <w:name w:val="heading 5"/>
    <w:basedOn w:val="Normln"/>
    <w:next w:val="Normln"/>
    <w:qFormat/>
    <w:rsid w:val="005C4CFB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  <w:lang w:val="cs-CZ" w:eastAsia="cs-CZ"/>
    </w:rPr>
  </w:style>
  <w:style w:type="paragraph" w:styleId="Nadpis6">
    <w:name w:val="heading 6"/>
    <w:basedOn w:val="Normln"/>
    <w:next w:val="Normln"/>
    <w:qFormat/>
    <w:rsid w:val="009E0C55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D0286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3119"/>
      </w:tabs>
      <w:autoSpaceDE w:val="0"/>
      <w:autoSpaceDN w:val="0"/>
      <w:adjustRightInd w:val="0"/>
      <w:spacing w:before="254" w:line="158" w:lineRule="exact"/>
      <w:ind w:right="8401"/>
    </w:pPr>
    <w:rPr>
      <w:sz w:val="16"/>
      <w:szCs w:val="16"/>
      <w:lang w:val="cs-CZ" w:eastAsia="cs-CZ"/>
    </w:rPr>
  </w:style>
  <w:style w:type="character" w:styleId="Hypertextovodkaz">
    <w:name w:val="Hyperlink"/>
    <w:basedOn w:val="Standardnpsmoodstavce"/>
    <w:rsid w:val="00D02869"/>
    <w:rPr>
      <w:color w:val="0000FF"/>
      <w:u w:val="single"/>
    </w:rPr>
  </w:style>
  <w:style w:type="paragraph" w:styleId="Textvbloku">
    <w:name w:val="Block Text"/>
    <w:basedOn w:val="Normln"/>
    <w:rsid w:val="00D02869"/>
    <w:pPr>
      <w:tabs>
        <w:tab w:val="left" w:pos="1843"/>
      </w:tabs>
      <w:autoSpaceDE w:val="0"/>
      <w:autoSpaceDN w:val="0"/>
      <w:adjustRightInd w:val="0"/>
      <w:spacing w:line="460" w:lineRule="exact"/>
      <w:ind w:left="567" w:right="10102"/>
    </w:pPr>
    <w:rPr>
      <w:b/>
      <w:bCs/>
      <w:sz w:val="22"/>
      <w:szCs w:val="50"/>
      <w:lang w:val="cs-CZ" w:eastAsia="cs-CZ"/>
    </w:rPr>
  </w:style>
  <w:style w:type="paragraph" w:styleId="Zhlav">
    <w:name w:val="header"/>
    <w:basedOn w:val="Normln"/>
    <w:rsid w:val="00D02869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rFonts w:ascii="Arial" w:hAnsi="Arial" w:cs="Arial"/>
      <w:szCs w:val="22"/>
      <w:lang w:val="cs-CZ" w:eastAsia="cs-CZ"/>
    </w:rPr>
  </w:style>
  <w:style w:type="paragraph" w:styleId="Zpat">
    <w:name w:val="footer"/>
    <w:basedOn w:val="Normln"/>
    <w:rsid w:val="00D02869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rFonts w:ascii="Arial" w:hAnsi="Arial" w:cs="Arial"/>
      <w:szCs w:val="22"/>
      <w:lang w:val="cs-CZ" w:eastAsia="cs-CZ"/>
    </w:rPr>
  </w:style>
  <w:style w:type="paragraph" w:styleId="Zkladntext2">
    <w:name w:val="Body Text 2"/>
    <w:basedOn w:val="Normln"/>
    <w:rsid w:val="00D02869"/>
    <w:pPr>
      <w:widowControl w:val="0"/>
      <w:autoSpaceDE w:val="0"/>
      <w:autoSpaceDN w:val="0"/>
      <w:adjustRightInd w:val="0"/>
      <w:jc w:val="both"/>
    </w:pPr>
    <w:rPr>
      <w:rFonts w:ascii="Bookman Old Style" w:hAnsi="Bookman Old Style" w:cs="Arial"/>
      <w:sz w:val="22"/>
      <w:szCs w:val="22"/>
      <w:lang w:val="cs-CZ" w:eastAsia="cs-CZ"/>
    </w:rPr>
  </w:style>
  <w:style w:type="character" w:styleId="Sledovanodkaz">
    <w:name w:val="FollowedHyperlink"/>
    <w:basedOn w:val="Standardnpsmoodstavce"/>
    <w:rsid w:val="00E227B6"/>
    <w:rPr>
      <w:color w:val="800080"/>
      <w:u w:val="single"/>
    </w:rPr>
  </w:style>
  <w:style w:type="paragraph" w:styleId="Textbubliny">
    <w:name w:val="Balloon Text"/>
    <w:basedOn w:val="Normln"/>
    <w:semiHidden/>
    <w:rsid w:val="00DF123B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  <w:lang w:val="cs-CZ" w:eastAsia="cs-CZ"/>
    </w:rPr>
  </w:style>
  <w:style w:type="paragraph" w:customStyle="1" w:styleId="text2">
    <w:name w:val="text2"/>
    <w:basedOn w:val="Normln"/>
    <w:rsid w:val="00E705CC"/>
    <w:pPr>
      <w:spacing w:before="100" w:beforeAutospacing="1" w:after="100" w:afterAutospacing="1"/>
    </w:pPr>
    <w:rPr>
      <w:rFonts w:ascii="Verdana" w:hAnsi="Verdana"/>
      <w:color w:val="00468D"/>
      <w:szCs w:val="22"/>
      <w:lang w:val="cs-CZ" w:eastAsia="cs-CZ"/>
    </w:rPr>
  </w:style>
  <w:style w:type="paragraph" w:styleId="Zkladntextodsazen">
    <w:name w:val="Body Text Indent"/>
    <w:basedOn w:val="Normln"/>
    <w:link w:val="ZkladntextodsazenChar"/>
    <w:unhideWhenUsed/>
    <w:rsid w:val="003E6987"/>
    <w:pPr>
      <w:numPr>
        <w:ilvl w:val="12"/>
      </w:numPr>
      <w:spacing w:after="240"/>
      <w:ind w:hanging="11"/>
      <w:jc w:val="both"/>
    </w:pPr>
    <w:rPr>
      <w:lang w:val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3E6987"/>
    <w:rPr>
      <w:rFonts w:cs="Times New Roman"/>
      <w:sz w:val="24"/>
      <w:szCs w:val="24"/>
      <w:lang w:eastAsia="en-US"/>
    </w:rPr>
  </w:style>
  <w:style w:type="paragraph" w:customStyle="1" w:styleId="BaseTimes">
    <w:name w:val="BaseTimes"/>
    <w:rsid w:val="003E6987"/>
    <w:rPr>
      <w:rFonts w:cs="Times New Roman"/>
      <w:sz w:val="24"/>
      <w:lang w:eastAsia="en-US"/>
    </w:rPr>
  </w:style>
  <w:style w:type="character" w:customStyle="1" w:styleId="TextChar">
    <w:name w:val="Text Char"/>
    <w:link w:val="Text"/>
    <w:locked/>
    <w:rsid w:val="003E6987"/>
    <w:rPr>
      <w:sz w:val="24"/>
      <w:lang w:eastAsia="en-US"/>
    </w:rPr>
  </w:style>
  <w:style w:type="paragraph" w:customStyle="1" w:styleId="Text">
    <w:name w:val="Text"/>
    <w:basedOn w:val="BaseTimes"/>
    <w:link w:val="TextChar"/>
    <w:rsid w:val="003E6987"/>
    <w:pPr>
      <w:spacing w:after="240"/>
      <w:ind w:firstLine="1440"/>
    </w:pPr>
    <w:rPr>
      <w:rFonts w:cs="Tahoma"/>
    </w:rPr>
  </w:style>
  <w:style w:type="paragraph" w:customStyle="1" w:styleId="AODocTxt">
    <w:name w:val="AODocTxt"/>
    <w:basedOn w:val="Normln"/>
    <w:rsid w:val="003E6987"/>
    <w:pPr>
      <w:numPr>
        <w:numId w:val="2"/>
      </w:numPr>
      <w:tabs>
        <w:tab w:val="clear" w:pos="720"/>
        <w:tab w:val="num" w:pos="360"/>
        <w:tab w:val="num" w:pos="1080"/>
      </w:tabs>
      <w:autoSpaceDE w:val="0"/>
      <w:autoSpaceDN w:val="0"/>
      <w:adjustRightInd w:val="0"/>
      <w:spacing w:before="240" w:line="260" w:lineRule="atLeast"/>
      <w:ind w:left="1080"/>
      <w:jc w:val="both"/>
    </w:pPr>
    <w:rPr>
      <w:sz w:val="22"/>
      <w:szCs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3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mo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ela.lislerova\Desktop\VGP%20CZ%20III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CEE72-1C51-49F4-A705-B061ADF47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VGP CZ III</Template>
  <TotalTime>0</TotalTime>
  <Pages>2</Pages>
  <Words>515</Words>
  <Characters>3237</Characters>
  <Application>Microsoft Office Word</Application>
  <DocSecurity>4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MVG s</vt:lpstr>
      <vt:lpstr>MVG s</vt:lpstr>
    </vt:vector>
  </TitlesOfParts>
  <Company>HP</Company>
  <LinksUpToDate>false</LinksUpToDate>
  <CharactersWithSpaces>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MVG s</dc:title>
  <dc:creator>Adéla Lislerová</dc:creator>
  <cp:lastModifiedBy>havlickova</cp:lastModifiedBy>
  <cp:revision>2</cp:revision>
  <cp:lastPrinted>2015-02-04T12:47:00Z</cp:lastPrinted>
  <dcterms:created xsi:type="dcterms:W3CDTF">2015-02-05T14:31:00Z</dcterms:created>
  <dcterms:modified xsi:type="dcterms:W3CDTF">2015-02-05T14:31:00Z</dcterms:modified>
</cp:coreProperties>
</file>